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B27B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TNI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B27B4">
        <w:rPr>
          <w:rFonts w:ascii="Arial" w:hAnsi="Arial" w:cs="Arial"/>
          <w:sz w:val="20"/>
          <w:szCs w:val="20"/>
        </w:rPr>
        <w:t>25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B27B4" w:rsidRPr="00BB27B4">
        <w:rPr>
          <w:rFonts w:ascii="Arial" w:hAnsi="Arial" w:cs="Arial"/>
          <w:sz w:val="20"/>
          <w:szCs w:val="20"/>
        </w:rPr>
        <w:t xml:space="preserve">Thang </w:t>
      </w:r>
      <w:proofErr w:type="spellStart"/>
      <w:r w:rsidR="00BB27B4" w:rsidRPr="00BB27B4">
        <w:rPr>
          <w:rFonts w:ascii="Arial" w:hAnsi="Arial" w:cs="Arial"/>
          <w:sz w:val="20"/>
          <w:szCs w:val="20"/>
        </w:rPr>
        <w:t>Loi</w:t>
      </w:r>
      <w:proofErr w:type="spellEnd"/>
      <w:r w:rsidR="00BB27B4" w:rsidRPr="00BB27B4">
        <w:rPr>
          <w:rFonts w:ascii="Arial" w:hAnsi="Arial" w:cs="Arial"/>
          <w:sz w:val="20"/>
          <w:szCs w:val="20"/>
        </w:rPr>
        <w:t xml:space="preserve"> International Garment Joint Stock Company</w:t>
      </w:r>
      <w:r w:rsidR="00BB27B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 xml:space="preserve">Article 1: Approve the Board of Directors' business results report in 2019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B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audited financial statement</w:t>
      </w:r>
      <w:r w:rsidRPr="00BB27B4">
        <w:rPr>
          <w:rFonts w:ascii="Arial" w:hAnsi="Arial" w:cs="Arial"/>
          <w:sz w:val="20"/>
          <w:szCs w:val="20"/>
        </w:rPr>
        <w:t xml:space="preserve"> of 2019. In which there are basic targets: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BB27B4" w:rsidTr="00BB27B4">
        <w:tc>
          <w:tcPr>
            <w:tcW w:w="828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56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92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 (VND)</w:t>
            </w:r>
          </w:p>
        </w:tc>
      </w:tr>
      <w:tr w:rsidR="00BB27B4" w:rsidTr="00BB27B4">
        <w:tc>
          <w:tcPr>
            <w:tcW w:w="828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from sale</w:t>
            </w:r>
            <w:r w:rsidRPr="00BB27B4">
              <w:rPr>
                <w:rFonts w:ascii="Arial" w:hAnsi="Arial" w:cs="Arial"/>
                <w:sz w:val="20"/>
                <w:szCs w:val="20"/>
              </w:rPr>
              <w:t xml:space="preserve"> of goods and rendering of services</w:t>
            </w:r>
          </w:p>
        </w:tc>
        <w:tc>
          <w:tcPr>
            <w:tcW w:w="3192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7B4">
              <w:rPr>
                <w:rFonts w:ascii="Arial" w:hAnsi="Arial" w:cs="Arial"/>
                <w:sz w:val="20"/>
                <w:szCs w:val="20"/>
              </w:rPr>
              <w:t>117,833,390,751</w:t>
            </w:r>
          </w:p>
        </w:tc>
      </w:tr>
      <w:tr w:rsidR="00BB27B4" w:rsidTr="00BB27B4">
        <w:tc>
          <w:tcPr>
            <w:tcW w:w="828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of employees/</w:t>
            </w:r>
            <w:r w:rsidRPr="00BB27B4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3192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7B4">
              <w:rPr>
                <w:rFonts w:ascii="Arial" w:hAnsi="Arial" w:cs="Arial"/>
                <w:sz w:val="20"/>
                <w:szCs w:val="20"/>
              </w:rPr>
              <w:t>7,388,000</w:t>
            </w:r>
          </w:p>
        </w:tc>
      </w:tr>
      <w:tr w:rsidR="00BB27B4" w:rsidTr="00BB27B4">
        <w:tc>
          <w:tcPr>
            <w:tcW w:w="828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7B4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3192" w:type="dxa"/>
          </w:tcPr>
          <w:p w:rsidR="00BB27B4" w:rsidRDefault="00BB27B4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7B4">
              <w:rPr>
                <w:rFonts w:ascii="Arial" w:hAnsi="Arial" w:cs="Arial"/>
                <w:sz w:val="20"/>
                <w:szCs w:val="20"/>
              </w:rPr>
              <w:t>353,659,199</w:t>
            </w:r>
          </w:p>
        </w:tc>
      </w:tr>
    </w:tbl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 xml:space="preserve">Article 2: Approve the content of the Board of Directors' Report to submit to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 xml:space="preserve">Article 3: Approve the content of the Report of the Supervisory Board </w:t>
      </w:r>
      <w:r>
        <w:rPr>
          <w:rFonts w:ascii="Arial" w:hAnsi="Arial" w:cs="Arial"/>
          <w:sz w:val="20"/>
          <w:szCs w:val="20"/>
        </w:rPr>
        <w:t xml:space="preserve">to submit the annual General Meeting of Shareholders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Approving the plan on</w:t>
      </w:r>
      <w:r w:rsidRPr="00BB27B4">
        <w:rPr>
          <w:rFonts w:ascii="Arial" w:hAnsi="Arial" w:cs="Arial"/>
          <w:sz w:val="20"/>
          <w:szCs w:val="20"/>
        </w:rPr>
        <w:t xml:space="preserve"> issuing bonus shares to existing shareholders to increase charter capital from the equity source, specifically as follows: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27B4">
        <w:rPr>
          <w:rFonts w:ascii="Arial" w:hAnsi="Arial" w:cs="Arial"/>
          <w:sz w:val="20"/>
          <w:szCs w:val="20"/>
        </w:rPr>
        <w:t>Purpose of issuance: Rewarding existing shar</w:t>
      </w:r>
      <w:r>
        <w:rPr>
          <w:rFonts w:ascii="Arial" w:hAnsi="Arial" w:cs="Arial"/>
          <w:sz w:val="20"/>
          <w:szCs w:val="20"/>
        </w:rPr>
        <w:t>eholders, increasing</w:t>
      </w:r>
      <w:r w:rsidRPr="00BB27B4">
        <w:rPr>
          <w:rFonts w:ascii="Arial" w:hAnsi="Arial" w:cs="Arial"/>
          <w:sz w:val="20"/>
          <w:szCs w:val="20"/>
        </w:rPr>
        <w:t xml:space="preserve"> the charter capital of the Company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27B4">
        <w:rPr>
          <w:rFonts w:ascii="Arial" w:hAnsi="Arial" w:cs="Arial"/>
          <w:sz w:val="20"/>
          <w:szCs w:val="20"/>
        </w:rPr>
        <w:t xml:space="preserve"> Name of stock: </w:t>
      </w:r>
      <w:r>
        <w:rPr>
          <w:rFonts w:ascii="Arial" w:hAnsi="Arial" w:cs="Arial"/>
          <w:sz w:val="20"/>
          <w:szCs w:val="20"/>
        </w:rPr>
        <w:t xml:space="preserve">Share of </w:t>
      </w:r>
      <w:r w:rsidRPr="00BB27B4">
        <w:rPr>
          <w:rFonts w:ascii="Arial" w:hAnsi="Arial" w:cs="Arial"/>
          <w:sz w:val="20"/>
          <w:szCs w:val="20"/>
        </w:rPr>
        <w:t xml:space="preserve">Thang </w:t>
      </w:r>
      <w:proofErr w:type="spellStart"/>
      <w:r w:rsidRPr="00BB27B4">
        <w:rPr>
          <w:rFonts w:ascii="Arial" w:hAnsi="Arial" w:cs="Arial"/>
          <w:sz w:val="20"/>
          <w:szCs w:val="20"/>
        </w:rPr>
        <w:t>Loi</w:t>
      </w:r>
      <w:proofErr w:type="spellEnd"/>
      <w:r w:rsidRPr="00BB27B4">
        <w:rPr>
          <w:rFonts w:ascii="Arial" w:hAnsi="Arial" w:cs="Arial"/>
          <w:sz w:val="20"/>
          <w:szCs w:val="20"/>
        </w:rPr>
        <w:t xml:space="preserve"> Internationa</w:t>
      </w:r>
      <w:r>
        <w:rPr>
          <w:rFonts w:ascii="Arial" w:hAnsi="Arial" w:cs="Arial"/>
          <w:sz w:val="20"/>
          <w:szCs w:val="20"/>
        </w:rPr>
        <w:t>l Garment Joint Stock Company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Stock code: </w:t>
      </w:r>
      <w:r w:rsidRPr="00BB27B4">
        <w:rPr>
          <w:rFonts w:ascii="Arial" w:hAnsi="Arial" w:cs="Arial"/>
          <w:sz w:val="20"/>
          <w:szCs w:val="20"/>
        </w:rPr>
        <w:t xml:space="preserve">TLI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 xml:space="preserve">- Type of stock: Common stock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value: VND 10,000/</w:t>
      </w:r>
      <w:r w:rsidRPr="00BB27B4">
        <w:rPr>
          <w:rFonts w:ascii="Arial" w:hAnsi="Arial" w:cs="Arial"/>
          <w:sz w:val="20"/>
          <w:szCs w:val="20"/>
        </w:rPr>
        <w:t xml:space="preserve">share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27B4">
        <w:rPr>
          <w:rFonts w:ascii="Arial" w:hAnsi="Arial" w:cs="Arial"/>
          <w:sz w:val="20"/>
          <w:szCs w:val="20"/>
        </w:rPr>
        <w:t>Total number of issued shares</w:t>
      </w:r>
      <w:r>
        <w:rPr>
          <w:rFonts w:ascii="Arial" w:hAnsi="Arial" w:cs="Arial"/>
          <w:sz w:val="20"/>
          <w:szCs w:val="20"/>
        </w:rPr>
        <w:t>:</w:t>
      </w:r>
      <w:r w:rsidRPr="00BB27B4">
        <w:rPr>
          <w:rFonts w:ascii="Arial" w:hAnsi="Arial" w:cs="Arial"/>
          <w:sz w:val="20"/>
          <w:szCs w:val="20"/>
        </w:rPr>
        <w:t xml:space="preserve"> 3,000,000 shares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27B4">
        <w:rPr>
          <w:rFonts w:ascii="Arial" w:hAnsi="Arial" w:cs="Arial"/>
          <w:sz w:val="20"/>
          <w:szCs w:val="20"/>
        </w:rPr>
        <w:t xml:space="preserve">Total outstanding shares 3,000,000 shares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27B4">
        <w:rPr>
          <w:rFonts w:ascii="Arial" w:hAnsi="Arial" w:cs="Arial"/>
          <w:sz w:val="20"/>
          <w:szCs w:val="20"/>
        </w:rPr>
        <w:t>Expected number of shares to be issued: 300,000 shares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27B4">
        <w:rPr>
          <w:rFonts w:ascii="Arial" w:hAnsi="Arial" w:cs="Arial"/>
          <w:sz w:val="20"/>
          <w:szCs w:val="20"/>
        </w:rPr>
        <w:t>Total par value</w:t>
      </w:r>
      <w:r>
        <w:rPr>
          <w:rFonts w:ascii="Arial" w:hAnsi="Arial" w:cs="Arial"/>
          <w:sz w:val="20"/>
          <w:szCs w:val="20"/>
        </w:rPr>
        <w:t xml:space="preserve">: VND 3,000,000,000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 xml:space="preserve">- Issuing rate: 10% of outstanding shares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Eligible buyer</w:t>
      </w:r>
      <w:r w:rsidRPr="00BB27B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Outstanding shareholders</w:t>
      </w:r>
      <w:r w:rsidRPr="00BB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record date of</w:t>
      </w:r>
      <w:r w:rsidRPr="00BB27B4">
        <w:rPr>
          <w:rFonts w:ascii="Arial" w:hAnsi="Arial" w:cs="Arial"/>
          <w:sz w:val="20"/>
          <w:szCs w:val="20"/>
        </w:rPr>
        <w:t xml:space="preserve"> list of shareholders to receive additional</w:t>
      </w:r>
      <w:r>
        <w:rPr>
          <w:rFonts w:ascii="Arial" w:hAnsi="Arial" w:cs="Arial"/>
          <w:sz w:val="20"/>
          <w:szCs w:val="20"/>
        </w:rPr>
        <w:t>ly</w:t>
      </w:r>
      <w:r w:rsidRPr="00BB27B4">
        <w:rPr>
          <w:rFonts w:ascii="Arial" w:hAnsi="Arial" w:cs="Arial"/>
          <w:sz w:val="20"/>
          <w:szCs w:val="20"/>
        </w:rPr>
        <w:t xml:space="preserve"> issued shares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B27B4">
        <w:rPr>
          <w:rFonts w:ascii="Arial" w:hAnsi="Arial" w:cs="Arial"/>
          <w:sz w:val="20"/>
          <w:szCs w:val="20"/>
        </w:rPr>
        <w:t xml:space="preserve">Payment method: </w:t>
      </w:r>
      <w:r>
        <w:rPr>
          <w:rFonts w:ascii="Arial" w:hAnsi="Arial" w:cs="Arial"/>
          <w:sz w:val="20"/>
          <w:szCs w:val="20"/>
        </w:rPr>
        <w:t>Right exercise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Ratio: 10:1 (shareholder</w:t>
      </w:r>
      <w:r w:rsidRPr="00BB27B4">
        <w:rPr>
          <w:rFonts w:ascii="Arial" w:hAnsi="Arial" w:cs="Arial"/>
          <w:sz w:val="20"/>
          <w:szCs w:val="20"/>
        </w:rPr>
        <w:t xml:space="preserve"> who own</w:t>
      </w:r>
      <w:r>
        <w:rPr>
          <w:rFonts w:ascii="Arial" w:hAnsi="Arial" w:cs="Arial"/>
          <w:sz w:val="20"/>
          <w:szCs w:val="20"/>
        </w:rPr>
        <w:t>s</w:t>
      </w:r>
      <w:r w:rsidRPr="00BB27B4">
        <w:rPr>
          <w:rFonts w:ascii="Arial" w:hAnsi="Arial" w:cs="Arial"/>
          <w:sz w:val="20"/>
          <w:szCs w:val="20"/>
        </w:rPr>
        <w:t xml:space="preserve"> 10 shares </w:t>
      </w:r>
      <w:r>
        <w:rPr>
          <w:rFonts w:ascii="Arial" w:hAnsi="Arial" w:cs="Arial"/>
          <w:sz w:val="20"/>
          <w:szCs w:val="20"/>
        </w:rPr>
        <w:t>on the record date</w:t>
      </w:r>
      <w:r w:rsidRPr="00BB27B4">
        <w:rPr>
          <w:rFonts w:ascii="Arial" w:hAnsi="Arial" w:cs="Arial"/>
          <w:sz w:val="20"/>
          <w:szCs w:val="20"/>
        </w:rPr>
        <w:t xml:space="preserve"> receive</w:t>
      </w:r>
      <w:r>
        <w:rPr>
          <w:rFonts w:ascii="Arial" w:hAnsi="Arial" w:cs="Arial"/>
          <w:sz w:val="20"/>
          <w:szCs w:val="20"/>
        </w:rPr>
        <w:t>s</w:t>
      </w:r>
      <w:r w:rsidRPr="00BB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Pr="00BB27B4">
        <w:rPr>
          <w:rFonts w:ascii="Arial" w:hAnsi="Arial" w:cs="Arial"/>
          <w:sz w:val="20"/>
          <w:szCs w:val="20"/>
        </w:rPr>
        <w:t xml:space="preserve">1 new share)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Pr="00BB27B4">
        <w:rPr>
          <w:rFonts w:ascii="Arial" w:hAnsi="Arial" w:cs="Arial"/>
          <w:sz w:val="20"/>
          <w:szCs w:val="20"/>
        </w:rPr>
        <w:t xml:space="preserve">ssued </w:t>
      </w:r>
      <w:r>
        <w:rPr>
          <w:rFonts w:ascii="Arial" w:hAnsi="Arial" w:cs="Arial"/>
          <w:sz w:val="20"/>
          <w:szCs w:val="20"/>
        </w:rPr>
        <w:t>s</w:t>
      </w:r>
      <w:r w:rsidRPr="00BB27B4">
        <w:rPr>
          <w:rFonts w:ascii="Arial" w:hAnsi="Arial" w:cs="Arial"/>
          <w:sz w:val="20"/>
          <w:szCs w:val="20"/>
        </w:rPr>
        <w:t>hares: No transfer restriction</w:t>
      </w:r>
    </w:p>
    <w:p w:rsidR="008428CB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B27B4">
        <w:rPr>
          <w:rFonts w:ascii="Arial" w:hAnsi="Arial" w:cs="Arial"/>
          <w:sz w:val="20"/>
          <w:szCs w:val="20"/>
        </w:rPr>
        <w:t xml:space="preserve"> Plan for dealing with </w:t>
      </w:r>
      <w:r>
        <w:rPr>
          <w:rFonts w:ascii="Arial" w:hAnsi="Arial" w:cs="Arial"/>
          <w:sz w:val="20"/>
          <w:szCs w:val="20"/>
        </w:rPr>
        <w:t>fractional shares</w:t>
      </w:r>
      <w:r w:rsidRPr="00BB27B4">
        <w:rPr>
          <w:rFonts w:ascii="Arial" w:hAnsi="Arial" w:cs="Arial"/>
          <w:sz w:val="20"/>
          <w:szCs w:val="20"/>
        </w:rPr>
        <w:t xml:space="preserve"> (if any): Shares issued to existing shareholders will be rounded down to the unit</w:t>
      </w:r>
      <w:r w:rsidR="008428CB">
        <w:rPr>
          <w:rFonts w:ascii="Arial" w:hAnsi="Arial" w:cs="Arial"/>
          <w:sz w:val="20"/>
          <w:szCs w:val="20"/>
        </w:rPr>
        <w:t xml:space="preserve"> digit</w:t>
      </w:r>
      <w:r w:rsidRPr="00BB27B4">
        <w:rPr>
          <w:rFonts w:ascii="Arial" w:hAnsi="Arial" w:cs="Arial"/>
          <w:sz w:val="20"/>
          <w:szCs w:val="20"/>
        </w:rPr>
        <w:t xml:space="preserve">, the decimal will be canceled </w:t>
      </w:r>
    </w:p>
    <w:p w:rsidR="008428CB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>- Capital source</w:t>
      </w:r>
      <w:r w:rsidR="008428CB">
        <w:rPr>
          <w:rFonts w:ascii="Arial" w:hAnsi="Arial" w:cs="Arial"/>
          <w:sz w:val="20"/>
          <w:szCs w:val="20"/>
        </w:rPr>
        <w:t>:</w:t>
      </w:r>
      <w:r w:rsidRPr="00BB27B4">
        <w:rPr>
          <w:rFonts w:ascii="Arial" w:hAnsi="Arial" w:cs="Arial"/>
          <w:sz w:val="20"/>
          <w:szCs w:val="20"/>
        </w:rPr>
        <w:t xml:space="preserve"> </w:t>
      </w:r>
      <w:r w:rsidR="008428CB">
        <w:rPr>
          <w:rFonts w:ascii="Arial" w:hAnsi="Arial" w:cs="Arial"/>
          <w:sz w:val="20"/>
          <w:szCs w:val="20"/>
        </w:rPr>
        <w:t xml:space="preserve">undistributed after-tax profit and Development Investment Fund, </w:t>
      </w:r>
      <w:r w:rsidRPr="00BB27B4">
        <w:rPr>
          <w:rFonts w:ascii="Arial" w:hAnsi="Arial" w:cs="Arial"/>
          <w:sz w:val="20"/>
          <w:szCs w:val="20"/>
        </w:rPr>
        <w:t xml:space="preserve">based on </w:t>
      </w:r>
      <w:r w:rsidR="008428CB">
        <w:rPr>
          <w:rFonts w:ascii="Arial" w:hAnsi="Arial" w:cs="Arial"/>
          <w:sz w:val="20"/>
          <w:szCs w:val="20"/>
        </w:rPr>
        <w:t>audited financial statement of 2019</w:t>
      </w:r>
    </w:p>
    <w:p w:rsidR="008428CB" w:rsidRDefault="008428CB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BB27B4" w:rsidRPr="00BB27B4">
        <w:rPr>
          <w:rFonts w:ascii="Arial" w:hAnsi="Arial" w:cs="Arial"/>
          <w:sz w:val="20"/>
          <w:szCs w:val="20"/>
        </w:rPr>
        <w:t xml:space="preserve"> which: + Undistrib</w:t>
      </w:r>
      <w:r>
        <w:rPr>
          <w:rFonts w:ascii="Arial" w:hAnsi="Arial" w:cs="Arial"/>
          <w:sz w:val="20"/>
          <w:szCs w:val="20"/>
        </w:rPr>
        <w:t xml:space="preserve">uted profit: VND 2,600,000,000 </w:t>
      </w:r>
    </w:p>
    <w:p w:rsidR="008428CB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 xml:space="preserve">+ Development investment fund: VND 400,000,000  </w:t>
      </w:r>
    </w:p>
    <w:p w:rsidR="008428CB" w:rsidRDefault="008428CB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B27B4" w:rsidRPr="00BB27B4">
        <w:rPr>
          <w:rFonts w:ascii="Arial" w:hAnsi="Arial" w:cs="Arial"/>
          <w:sz w:val="20"/>
          <w:szCs w:val="20"/>
        </w:rPr>
        <w:t xml:space="preserve">Number of shares after the issuance to existing shareholders: estimated </w:t>
      </w:r>
      <w:r>
        <w:rPr>
          <w:rFonts w:ascii="Arial" w:hAnsi="Arial" w:cs="Arial"/>
          <w:sz w:val="20"/>
          <w:szCs w:val="20"/>
        </w:rPr>
        <w:t xml:space="preserve">at </w:t>
      </w:r>
      <w:r w:rsidR="00BB27B4" w:rsidRPr="00BB27B4">
        <w:rPr>
          <w:rFonts w:ascii="Arial" w:hAnsi="Arial" w:cs="Arial"/>
          <w:sz w:val="20"/>
          <w:szCs w:val="20"/>
        </w:rPr>
        <w:t xml:space="preserve">3,300,000 shares </w:t>
      </w:r>
    </w:p>
    <w:p w:rsidR="008428CB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>- Estimated execution time: Quarter 3, 2020 after obtaining the approva</w:t>
      </w:r>
      <w:r w:rsidR="008428CB">
        <w:rPr>
          <w:rFonts w:ascii="Arial" w:hAnsi="Arial" w:cs="Arial"/>
          <w:sz w:val="20"/>
          <w:szCs w:val="20"/>
        </w:rPr>
        <w:t xml:space="preserve">l of the Securities Commission </w:t>
      </w:r>
      <w:r w:rsidRPr="00BB27B4">
        <w:rPr>
          <w:rFonts w:ascii="Arial" w:hAnsi="Arial" w:cs="Arial"/>
          <w:sz w:val="20"/>
          <w:szCs w:val="20"/>
        </w:rPr>
        <w:t xml:space="preserve">State </w:t>
      </w:r>
    </w:p>
    <w:p w:rsidR="00BB27B4" w:rsidRDefault="00BB27B4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7B4">
        <w:rPr>
          <w:rFonts w:ascii="Arial" w:hAnsi="Arial" w:cs="Arial"/>
          <w:sz w:val="20"/>
          <w:szCs w:val="20"/>
        </w:rPr>
        <w:t>All additional</w:t>
      </w:r>
      <w:r w:rsidR="008428CB">
        <w:rPr>
          <w:rFonts w:ascii="Arial" w:hAnsi="Arial" w:cs="Arial"/>
          <w:sz w:val="20"/>
          <w:szCs w:val="20"/>
        </w:rPr>
        <w:t>ly issued</w:t>
      </w:r>
      <w:r w:rsidRPr="00BB27B4">
        <w:rPr>
          <w:rFonts w:ascii="Arial" w:hAnsi="Arial" w:cs="Arial"/>
          <w:sz w:val="20"/>
          <w:szCs w:val="20"/>
        </w:rPr>
        <w:t xml:space="preserve"> shares will be registered for additional securities with the Vietnam Securities Depository and regist</w:t>
      </w:r>
      <w:r w:rsidR="008428CB">
        <w:rPr>
          <w:rFonts w:ascii="Arial" w:hAnsi="Arial" w:cs="Arial"/>
          <w:sz w:val="20"/>
          <w:szCs w:val="20"/>
        </w:rPr>
        <w:t>ered for additional transaction</w:t>
      </w:r>
      <w:r w:rsidRPr="00BB27B4">
        <w:rPr>
          <w:rFonts w:ascii="Arial" w:hAnsi="Arial" w:cs="Arial"/>
          <w:sz w:val="20"/>
          <w:szCs w:val="20"/>
        </w:rPr>
        <w:t xml:space="preserve"> with the Hanoi Stock Exchang</w:t>
      </w:r>
      <w:r w:rsidR="008428CB">
        <w:rPr>
          <w:rFonts w:ascii="Arial" w:hAnsi="Arial" w:cs="Arial"/>
          <w:sz w:val="20"/>
          <w:szCs w:val="20"/>
        </w:rPr>
        <w:t>e after completing the issuance</w:t>
      </w:r>
    </w:p>
    <w:p w:rsidR="008428CB" w:rsidRDefault="008428CB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authorized the Board of Directors to decide all issues related to the share issue to raise the charter capital from the equity</w:t>
      </w:r>
    </w:p>
    <w:p w:rsidR="008428CB" w:rsidRDefault="008428CB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Approve the operation plan for 2020 of the Company submitted to the annual General Meeting of Shareholders by the Board of Directors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8428CB" w:rsidTr="008428CB">
        <w:tc>
          <w:tcPr>
            <w:tcW w:w="738" w:type="dxa"/>
          </w:tcPr>
          <w:p w:rsidR="008428CB" w:rsidRDefault="008428CB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8428CB" w:rsidRDefault="008428CB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8428CB" w:rsidRDefault="008428CB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8428CB" w:rsidRDefault="008428CB" w:rsidP="00BB2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8428CB" w:rsidTr="008428CB">
        <w:tc>
          <w:tcPr>
            <w:tcW w:w="738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from sale</w:t>
            </w:r>
            <w:r w:rsidRPr="00BB27B4">
              <w:rPr>
                <w:rFonts w:ascii="Arial" w:hAnsi="Arial" w:cs="Arial"/>
                <w:sz w:val="20"/>
                <w:szCs w:val="20"/>
              </w:rPr>
              <w:t xml:space="preserve"> of goods and rendering of services</w:t>
            </w:r>
          </w:p>
        </w:tc>
        <w:tc>
          <w:tcPr>
            <w:tcW w:w="2394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428CB" w:rsidTr="008428CB">
        <w:tc>
          <w:tcPr>
            <w:tcW w:w="738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of employees/</w:t>
            </w:r>
            <w:r w:rsidRPr="00BB27B4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2394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1,000/ person/ month</w:t>
            </w:r>
          </w:p>
        </w:tc>
        <w:tc>
          <w:tcPr>
            <w:tcW w:w="2394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7,100</w:t>
            </w:r>
          </w:p>
        </w:tc>
      </w:tr>
      <w:tr w:rsidR="008428CB" w:rsidTr="008428CB">
        <w:tc>
          <w:tcPr>
            <w:tcW w:w="738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7B4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94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8428CB" w:rsidRDefault="008428CB" w:rsidP="008428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428CB" w:rsidRDefault="008428CB" w:rsidP="00BB27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lastRenderedPageBreak/>
        <w:t>Article 6: For the Company to have a stable and long-term place of production and business, in case the value of the cooperation project</w:t>
      </w:r>
      <w:r>
        <w:rPr>
          <w:rFonts w:ascii="Arial" w:hAnsi="Arial" w:cs="Arial"/>
          <w:sz w:val="20"/>
          <w:szCs w:val="20"/>
        </w:rPr>
        <w:t>, the purchase or lease of land/workshop</w:t>
      </w:r>
      <w:r w:rsidRPr="00842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equal</w:t>
      </w:r>
      <w:r w:rsidRPr="008428CB">
        <w:rPr>
          <w:rFonts w:ascii="Arial" w:hAnsi="Arial" w:cs="Arial"/>
          <w:sz w:val="20"/>
          <w:szCs w:val="20"/>
        </w:rPr>
        <w:t xml:space="preserve"> or greater than 35% of the total value of assets recorded in the latest financial statements of the Company,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8428CB">
        <w:rPr>
          <w:rFonts w:ascii="Arial" w:hAnsi="Arial" w:cs="Arial"/>
          <w:sz w:val="20"/>
          <w:szCs w:val="20"/>
        </w:rPr>
        <w:t>authorizes the Board of Dire</w:t>
      </w:r>
      <w:r>
        <w:rPr>
          <w:rFonts w:ascii="Arial" w:hAnsi="Arial" w:cs="Arial"/>
          <w:sz w:val="20"/>
          <w:szCs w:val="20"/>
        </w:rPr>
        <w:t xml:space="preserve">ctors to decide and implement. </w:t>
      </w:r>
      <w:r w:rsidRPr="008428CB">
        <w:rPr>
          <w:rFonts w:ascii="Arial" w:hAnsi="Arial" w:cs="Arial"/>
          <w:sz w:val="20"/>
          <w:szCs w:val="20"/>
        </w:rPr>
        <w:t>The Board of Directors is responsible for reporti</w:t>
      </w:r>
      <w:r>
        <w:rPr>
          <w:rFonts w:ascii="Arial" w:hAnsi="Arial" w:cs="Arial"/>
          <w:sz w:val="20"/>
          <w:szCs w:val="20"/>
        </w:rPr>
        <w:t>ng the results of performance at</w:t>
      </w:r>
      <w:r w:rsidRPr="008428CB">
        <w:rPr>
          <w:rFonts w:ascii="Arial" w:hAnsi="Arial" w:cs="Arial"/>
          <w:sz w:val="20"/>
          <w:szCs w:val="20"/>
        </w:rPr>
        <w:t xml:space="preserve"> the nearest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t>Authori</w:t>
      </w:r>
      <w:r>
        <w:rPr>
          <w:rFonts w:ascii="Arial" w:hAnsi="Arial" w:cs="Arial"/>
          <w:sz w:val="20"/>
          <w:szCs w:val="20"/>
        </w:rPr>
        <w:t>zation period is 03 years (2020</w:t>
      </w:r>
      <w:r w:rsidRPr="008428C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2022)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t xml:space="preserve">Article 7: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8428CB">
        <w:rPr>
          <w:rFonts w:ascii="Arial" w:hAnsi="Arial" w:cs="Arial"/>
          <w:sz w:val="20"/>
          <w:szCs w:val="20"/>
        </w:rPr>
        <w:t xml:space="preserve"> authorizes the Board of Directors to select </w:t>
      </w:r>
      <w:r>
        <w:rPr>
          <w:rFonts w:ascii="Arial" w:hAnsi="Arial" w:cs="Arial"/>
          <w:sz w:val="20"/>
          <w:szCs w:val="20"/>
        </w:rPr>
        <w:t>an</w:t>
      </w:r>
      <w:r w:rsidRPr="008428CB">
        <w:rPr>
          <w:rFonts w:ascii="Arial" w:hAnsi="Arial" w:cs="Arial"/>
          <w:sz w:val="20"/>
          <w:szCs w:val="20"/>
        </w:rPr>
        <w:t xml:space="preserve"> auditing unit </w:t>
      </w:r>
      <w:r>
        <w:rPr>
          <w:rFonts w:ascii="Arial" w:hAnsi="Arial" w:cs="Arial"/>
          <w:sz w:val="20"/>
          <w:szCs w:val="20"/>
        </w:rPr>
        <w:t>for the Company’s financial statement of 2020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t xml:space="preserve">Article 8: Approving remuneration of the Board of Directors and Supervisory Board: 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428CB">
        <w:rPr>
          <w:rFonts w:ascii="Arial" w:hAnsi="Arial" w:cs="Arial"/>
          <w:sz w:val="20"/>
          <w:szCs w:val="20"/>
        </w:rPr>
        <w:t xml:space="preserve">Implementing in 2019: 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t>* Remuneration for the Board of Directors: VND 324,000,000</w:t>
      </w:r>
      <w:r>
        <w:rPr>
          <w:rFonts w:ascii="Arial" w:hAnsi="Arial" w:cs="Arial"/>
          <w:sz w:val="20"/>
          <w:szCs w:val="20"/>
        </w:rPr>
        <w:t>/</w:t>
      </w:r>
      <w:r w:rsidRPr="008428CB">
        <w:rPr>
          <w:rFonts w:ascii="Arial" w:hAnsi="Arial" w:cs="Arial"/>
          <w:sz w:val="20"/>
          <w:szCs w:val="20"/>
        </w:rPr>
        <w:t xml:space="preserve">5 members 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t xml:space="preserve">* Remuneration for the Supervisory Board: VND </w:t>
      </w:r>
      <w:r>
        <w:rPr>
          <w:rFonts w:ascii="Arial" w:hAnsi="Arial" w:cs="Arial"/>
          <w:sz w:val="20"/>
          <w:szCs w:val="20"/>
        </w:rPr>
        <w:t>132,000,000</w:t>
      </w:r>
      <w:r w:rsidRPr="008428CB">
        <w:rPr>
          <w:rFonts w:ascii="Arial" w:hAnsi="Arial" w:cs="Arial"/>
          <w:sz w:val="20"/>
          <w:szCs w:val="20"/>
        </w:rPr>
        <w:t xml:space="preserve">/3 members </w:t>
      </w:r>
    </w:p>
    <w:p w:rsidR="006A727D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428CB">
        <w:rPr>
          <w:rFonts w:ascii="Arial" w:hAnsi="Arial" w:cs="Arial"/>
          <w:sz w:val="20"/>
          <w:szCs w:val="20"/>
        </w:rPr>
        <w:t xml:space="preserve">Remuneration rate </w:t>
      </w:r>
      <w:r w:rsidR="006A727D">
        <w:rPr>
          <w:rFonts w:ascii="Arial" w:hAnsi="Arial" w:cs="Arial"/>
          <w:sz w:val="20"/>
          <w:szCs w:val="20"/>
        </w:rPr>
        <w:t>for</w:t>
      </w:r>
      <w:r w:rsidRPr="008428CB">
        <w:rPr>
          <w:rFonts w:ascii="Arial" w:hAnsi="Arial" w:cs="Arial"/>
          <w:sz w:val="20"/>
          <w:szCs w:val="20"/>
        </w:rPr>
        <w:t xml:space="preserve"> 2020: </w:t>
      </w:r>
    </w:p>
    <w:p w:rsidR="006A727D" w:rsidRDefault="006A727D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428CB" w:rsidRPr="008428CB">
        <w:rPr>
          <w:rFonts w:ascii="Arial" w:hAnsi="Arial" w:cs="Arial"/>
          <w:sz w:val="20"/>
          <w:szCs w:val="20"/>
        </w:rPr>
        <w:t xml:space="preserve"> Board of Directors'</w:t>
      </w:r>
      <w:r>
        <w:rPr>
          <w:rFonts w:ascii="Arial" w:hAnsi="Arial" w:cs="Arial"/>
          <w:sz w:val="20"/>
          <w:szCs w:val="20"/>
        </w:rPr>
        <w:t xml:space="preserve"> remuneration: VND 324,000,000/</w:t>
      </w:r>
      <w:r w:rsidR="008428CB" w:rsidRPr="008428CB">
        <w:rPr>
          <w:rFonts w:ascii="Arial" w:hAnsi="Arial" w:cs="Arial"/>
          <w:sz w:val="20"/>
          <w:szCs w:val="20"/>
        </w:rPr>
        <w:t xml:space="preserve">5 members </w:t>
      </w:r>
    </w:p>
    <w:p w:rsidR="008428CB" w:rsidRDefault="008428CB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28CB">
        <w:rPr>
          <w:rFonts w:ascii="Arial" w:hAnsi="Arial" w:cs="Arial"/>
          <w:sz w:val="20"/>
          <w:szCs w:val="20"/>
        </w:rPr>
        <w:t>* Remunera</w:t>
      </w:r>
      <w:r w:rsidR="006A727D">
        <w:rPr>
          <w:rFonts w:ascii="Arial" w:hAnsi="Arial" w:cs="Arial"/>
          <w:sz w:val="20"/>
          <w:szCs w:val="20"/>
        </w:rPr>
        <w:t>tion for the Supervisory Board: VND 132,000,000/</w:t>
      </w:r>
      <w:r w:rsidRPr="008428CB">
        <w:rPr>
          <w:rFonts w:ascii="Arial" w:hAnsi="Arial" w:cs="Arial"/>
          <w:sz w:val="20"/>
          <w:szCs w:val="20"/>
        </w:rPr>
        <w:t>3 members</w:t>
      </w:r>
    </w:p>
    <w:p w:rsidR="006A727D" w:rsidRDefault="006A727D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 This annual General Mandate was approved at the annual General Meeting of Shareholders in 2020 and takes effect from the signing date</w:t>
      </w:r>
    </w:p>
    <w:p w:rsidR="006A727D" w:rsidRPr="008428CB" w:rsidRDefault="006A727D" w:rsidP="00842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Directors, Supervisor Board, Management Board of the Company and shareholders are responsible for implementing it</w:t>
      </w:r>
      <w:r w:rsidR="00CE6982">
        <w:rPr>
          <w:rFonts w:ascii="Arial" w:hAnsi="Arial" w:cs="Arial"/>
          <w:sz w:val="20"/>
          <w:szCs w:val="20"/>
        </w:rPr>
        <w:t>.</w:t>
      </w:r>
    </w:p>
    <w:sectPr w:rsidR="006A727D" w:rsidRPr="0084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E6982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F7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316</cp:revision>
  <dcterms:created xsi:type="dcterms:W3CDTF">2019-10-16T10:03:00Z</dcterms:created>
  <dcterms:modified xsi:type="dcterms:W3CDTF">2020-07-03T07:39:00Z</dcterms:modified>
</cp:coreProperties>
</file>